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67E9D" w:rsidRPr="00567E9D">
        <w:rPr>
          <w:rFonts w:ascii="Arial" w:hAnsi="Arial" w:cs="Arial"/>
          <w:b/>
          <w:color w:val="000000"/>
          <w:sz w:val="20"/>
          <w:szCs w:val="20"/>
        </w:rPr>
        <w:t xml:space="preserve">„Budowa sieci wodociągowej DN 160 do strefy przemysłowej w </w:t>
      </w:r>
      <w:proofErr w:type="spellStart"/>
      <w:r w:rsidR="00567E9D" w:rsidRPr="00567E9D">
        <w:rPr>
          <w:rFonts w:ascii="Arial" w:hAnsi="Arial" w:cs="Arial"/>
          <w:b/>
          <w:color w:val="000000"/>
          <w:sz w:val="20"/>
          <w:szCs w:val="20"/>
        </w:rPr>
        <w:t>Podborzu</w:t>
      </w:r>
      <w:proofErr w:type="spellEnd"/>
      <w:r w:rsidR="00567E9D" w:rsidRPr="00567E9D">
        <w:rPr>
          <w:rFonts w:ascii="Arial" w:hAnsi="Arial" w:cs="Arial"/>
          <w:b/>
          <w:color w:val="000000"/>
          <w:sz w:val="20"/>
          <w:szCs w:val="20"/>
        </w:rPr>
        <w:t>, zbiornika wody czystej w Partyni o poj. 200 m3 i oczyszczalni ścieków bytowych w Dulczy Wielkiej”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3235DB" w:rsidRPr="003235DB" w:rsidRDefault="003235DB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5DB">
        <w:rPr>
          <w:rFonts w:ascii="Arial" w:hAnsi="Arial" w:cs="Arial"/>
          <w:sz w:val="20"/>
          <w:szCs w:val="20"/>
        </w:rPr>
        <w:t>Oświadczam, że nie podlegam wykluczeniu z postępowania na podstawie art. 7 ust. 1</w:t>
      </w:r>
      <w:r w:rsidRPr="003235DB">
        <w:rPr>
          <w:rFonts w:ascii="Arial" w:hAnsi="Arial" w:cs="Arial"/>
          <w:sz w:val="20"/>
          <w:szCs w:val="20"/>
        </w:rPr>
        <w:t xml:space="preserve"> ustawy</w:t>
      </w:r>
      <w:r w:rsidR="003C5CE6">
        <w:rPr>
          <w:rFonts w:ascii="Arial" w:hAnsi="Arial" w:cs="Arial"/>
          <w:sz w:val="20"/>
          <w:szCs w:val="20"/>
        </w:rPr>
        <w:t xml:space="preserve"> z dnia</w:t>
      </w:r>
      <w:bookmarkStart w:id="0" w:name="_GoBack"/>
      <w:bookmarkEnd w:id="0"/>
      <w:r w:rsidR="003C5CE6">
        <w:rPr>
          <w:rFonts w:ascii="Arial" w:hAnsi="Arial" w:cs="Arial"/>
          <w:sz w:val="20"/>
          <w:szCs w:val="20"/>
        </w:rPr>
        <w:t xml:space="preserve"> 13 kwietnia 2022 r. </w:t>
      </w:r>
      <w:r w:rsidRPr="003235D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C5CE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3235DB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lastRenderedPageBreak/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F41D5C">
        <w:rPr>
          <w:rFonts w:ascii="Arial" w:hAnsi="Arial" w:cs="Arial"/>
          <w:sz w:val="20"/>
          <w:szCs w:val="20"/>
        </w:rPr>
      </w:r>
      <w:r w:rsidR="00F41D5C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F41D5C">
        <w:rPr>
          <w:rFonts w:ascii="Arial" w:hAnsi="Arial" w:cs="Arial"/>
          <w:sz w:val="20"/>
          <w:szCs w:val="20"/>
        </w:rPr>
      </w:r>
      <w:r w:rsidR="00F41D5C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F41D5C">
        <w:rPr>
          <w:rFonts w:ascii="Arial" w:hAnsi="Arial" w:cs="Arial"/>
          <w:sz w:val="20"/>
          <w:szCs w:val="20"/>
        </w:rPr>
      </w:r>
      <w:r w:rsidR="00F41D5C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D5C" w:rsidRDefault="00F41D5C" w:rsidP="0038231F">
      <w:pPr>
        <w:spacing w:after="0" w:line="240" w:lineRule="auto"/>
      </w:pPr>
      <w:r>
        <w:separator/>
      </w:r>
    </w:p>
  </w:endnote>
  <w:endnote w:type="continuationSeparator" w:id="0">
    <w:p w:rsidR="00F41D5C" w:rsidRDefault="00F41D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C5CE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D5C" w:rsidRDefault="00F41D5C" w:rsidP="0038231F">
      <w:pPr>
        <w:spacing w:after="0" w:line="240" w:lineRule="auto"/>
      </w:pPr>
      <w:r>
        <w:separator/>
      </w:r>
    </w:p>
  </w:footnote>
  <w:footnote w:type="continuationSeparator" w:id="0">
    <w:p w:rsidR="00F41D5C" w:rsidRDefault="00F41D5C" w:rsidP="0038231F">
      <w:pPr>
        <w:spacing w:after="0" w:line="240" w:lineRule="auto"/>
      </w:pPr>
      <w:r>
        <w:continuationSeparator/>
      </w:r>
    </w:p>
  </w:footnote>
  <w:footnote w:id="1">
    <w:p w:rsidR="003C5CE6" w:rsidRPr="003C5CE6" w:rsidRDefault="003C5CE6" w:rsidP="003C5CE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C5CE6">
        <w:rPr>
          <w:rFonts w:ascii="Arial" w:hAnsi="Arial" w:cs="Arial"/>
          <w:sz w:val="16"/>
          <w:szCs w:val="16"/>
        </w:rPr>
        <w:t>Zgodnie z art. 22 pkt 1 ustawy o szczególnych rozwiązaniach w zakresie przeciwdziałania wspieraniu agresji na Ukrainę oraz służących ochronie bezpieczeństwa narodowego (Dz. U. z 2022 r., poz. 835) okres wykluczenia, o którym mowa w art. 7 ust. 2 ustawy, rozpoczyna się nie wcześniej niż po upływie 14 dni od dnia wejścia w życie niniejszej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235DB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5CE6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1D5C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88FE2-5809-4DF7-ADB4-B02AA886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33</cp:revision>
  <cp:lastPrinted>2016-07-26T08:32:00Z</cp:lastPrinted>
  <dcterms:created xsi:type="dcterms:W3CDTF">2016-09-23T08:44:00Z</dcterms:created>
  <dcterms:modified xsi:type="dcterms:W3CDTF">2022-04-22T11:19:00Z</dcterms:modified>
</cp:coreProperties>
</file>